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A331B" w14:textId="175F218C" w:rsidR="00F33216" w:rsidRDefault="00F33216" w:rsidP="00F33216">
      <w:pPr>
        <w:keepNext/>
        <w:tabs>
          <w:tab w:val="left" w:pos="-720"/>
          <w:tab w:val="left" w:pos="0"/>
        </w:tabs>
        <w:suppressAutoHyphens/>
        <w:jc w:val="both"/>
        <w:outlineLvl w:val="0"/>
        <w:rPr>
          <w:rFonts w:ascii="Calibri" w:eastAsia="Times New Roman" w:hAnsi="Calibri" w:cs="Calibri"/>
          <w:b/>
          <w:bCs/>
          <w:smallCaps/>
          <w:sz w:val="26"/>
          <w:szCs w:val="26"/>
          <w:lang w:eastAsia="fr-CA"/>
        </w:rPr>
      </w:pPr>
      <w:r>
        <w:rPr>
          <w:rFonts w:ascii="Calibri" w:eastAsia="Times New Roman" w:hAnsi="Calibri" w:cs="Calibri"/>
          <w:b/>
          <w:bCs/>
          <w:smallCaps/>
          <w:sz w:val="26"/>
          <w:szCs w:val="26"/>
          <w:lang w:eastAsia="fr-CA"/>
        </w:rPr>
        <w:t>Politique administrative du diocèse de Rouyn-Noranda</w:t>
      </w:r>
    </w:p>
    <w:p w14:paraId="63942807" w14:textId="77777777" w:rsidR="00F33216" w:rsidRDefault="00F33216" w:rsidP="00F33216">
      <w:pPr>
        <w:keepNext/>
        <w:tabs>
          <w:tab w:val="left" w:pos="-720"/>
          <w:tab w:val="left" w:pos="0"/>
        </w:tabs>
        <w:suppressAutoHyphens/>
        <w:jc w:val="both"/>
        <w:outlineLvl w:val="0"/>
        <w:rPr>
          <w:rFonts w:ascii="Calibri" w:eastAsia="Times New Roman" w:hAnsi="Calibri" w:cs="Calibri"/>
          <w:b/>
          <w:bCs/>
          <w:smallCaps/>
          <w:sz w:val="26"/>
          <w:szCs w:val="26"/>
          <w:lang w:eastAsia="fr-CA"/>
        </w:rPr>
      </w:pPr>
    </w:p>
    <w:p w14:paraId="0A08DAB5" w14:textId="44F77018" w:rsidR="00F33216" w:rsidRPr="00F33216" w:rsidRDefault="00F33216" w:rsidP="00F33216">
      <w:pPr>
        <w:keepNext/>
        <w:tabs>
          <w:tab w:val="left" w:pos="-720"/>
          <w:tab w:val="left" w:pos="0"/>
        </w:tabs>
        <w:suppressAutoHyphens/>
        <w:jc w:val="both"/>
        <w:outlineLvl w:val="0"/>
        <w:rPr>
          <w:rFonts w:ascii="Calibri" w:eastAsia="Times New Roman" w:hAnsi="Calibri" w:cs="Calibri"/>
          <w:b/>
          <w:bCs/>
          <w:smallCaps/>
          <w:sz w:val="26"/>
          <w:szCs w:val="26"/>
          <w:lang w:eastAsia="fr-CA"/>
        </w:rPr>
      </w:pPr>
      <w:r w:rsidRPr="00F33216">
        <w:rPr>
          <w:rFonts w:ascii="Calibri" w:eastAsia="Times New Roman" w:hAnsi="Calibri" w:cs="Calibri"/>
          <w:b/>
          <w:bCs/>
          <w:smallCaps/>
          <w:sz w:val="26"/>
          <w:szCs w:val="26"/>
          <w:lang w:eastAsia="fr-CA"/>
        </w:rPr>
        <w:t>SECTION VIII: LOCATION DES BIENS D’ÉGLISE</w:t>
      </w:r>
    </w:p>
    <w:p w14:paraId="10BB0FA6" w14:textId="77777777" w:rsidR="00F33216" w:rsidRPr="00F33216" w:rsidRDefault="00F33216" w:rsidP="00F33216">
      <w:pPr>
        <w:shd w:val="clear" w:color="auto" w:fill="FFFFFF"/>
        <w:spacing w:before="263" w:line="263" w:lineRule="exact"/>
        <w:ind w:left="716" w:right="785"/>
        <w:jc w:val="both"/>
        <w:rPr>
          <w:rFonts w:ascii="Calibri" w:eastAsia="Times New Roman" w:hAnsi="Calibri" w:cs="Calibri"/>
          <w:color w:val="000000"/>
          <w:spacing w:val="2"/>
          <w:sz w:val="24"/>
          <w:szCs w:val="24"/>
          <w:lang w:val="fr-FR" w:eastAsia="fr-CA"/>
        </w:rPr>
      </w:pPr>
      <w:r w:rsidRPr="00F33216">
        <w:rPr>
          <w:rFonts w:ascii="Calibri" w:eastAsia="Times New Roman" w:hAnsi="Calibri" w:cs="Calibri"/>
          <w:color w:val="000000"/>
          <w:spacing w:val="-1"/>
          <w:sz w:val="24"/>
          <w:szCs w:val="24"/>
          <w:lang w:val="fr-FR" w:eastAsia="fr-CA"/>
        </w:rPr>
        <w:t xml:space="preserve">Conformément aux prescriptions du c. 1297 et au décret de la Conférence des évêques catholiques </w:t>
      </w:r>
      <w:r w:rsidRPr="00F33216">
        <w:rPr>
          <w:rFonts w:ascii="Calibri" w:eastAsia="Times New Roman" w:hAnsi="Calibri" w:cs="Calibri"/>
          <w:color w:val="000000"/>
          <w:spacing w:val="2"/>
          <w:sz w:val="24"/>
          <w:szCs w:val="24"/>
          <w:lang w:val="fr-FR" w:eastAsia="fr-CA"/>
        </w:rPr>
        <w:t>du Canada :</w:t>
      </w:r>
    </w:p>
    <w:p w14:paraId="73540820" w14:textId="77777777" w:rsidR="00F33216" w:rsidRPr="00F33216" w:rsidRDefault="00F33216" w:rsidP="00F33216">
      <w:pPr>
        <w:numPr>
          <w:ilvl w:val="1"/>
          <w:numId w:val="1"/>
        </w:numPr>
        <w:shd w:val="clear" w:color="auto" w:fill="FFFFFF"/>
        <w:spacing w:before="263" w:line="263" w:lineRule="exact"/>
        <w:ind w:right="785"/>
        <w:jc w:val="both"/>
        <w:rPr>
          <w:rFonts w:ascii="Calibri" w:eastAsia="Times New Roman" w:hAnsi="Calibri" w:cs="Calibri"/>
          <w:color w:val="000000"/>
          <w:spacing w:val="2"/>
          <w:sz w:val="24"/>
          <w:szCs w:val="24"/>
          <w:lang w:val="fr-FR" w:eastAsia="fr-CA"/>
        </w:rPr>
      </w:pPr>
      <w:r w:rsidRPr="00F33216">
        <w:rPr>
          <w:rFonts w:ascii="Calibri" w:eastAsia="Times New Roman" w:hAnsi="Calibri" w:cs="Calibri"/>
          <w:color w:val="000000"/>
          <w:spacing w:val="3"/>
          <w:sz w:val="24"/>
          <w:szCs w:val="24"/>
          <w:lang w:val="fr-FR" w:eastAsia="fr-CA"/>
        </w:rPr>
        <w:t xml:space="preserve">Les terrains et les bâtisses ne seront pas conservés indéfiniment lorsqu'ils </w:t>
      </w:r>
      <w:r w:rsidRPr="00F33216">
        <w:rPr>
          <w:rFonts w:ascii="Calibri" w:eastAsia="Times New Roman" w:hAnsi="Calibri" w:cs="Calibri"/>
          <w:color w:val="000000"/>
          <w:spacing w:val="3"/>
          <w:sz w:val="24"/>
          <w:szCs w:val="24"/>
          <w:lang w:val="fr-FR" w:eastAsia="fr-CA"/>
        </w:rPr>
        <w:tab/>
        <w:t xml:space="preserve">ne </w:t>
      </w:r>
      <w:r w:rsidRPr="00F33216">
        <w:rPr>
          <w:rFonts w:ascii="Calibri" w:eastAsia="Times New Roman" w:hAnsi="Calibri" w:cs="Calibri"/>
          <w:color w:val="000000"/>
          <w:spacing w:val="-2"/>
          <w:sz w:val="24"/>
          <w:szCs w:val="24"/>
          <w:lang w:val="fr-FR" w:eastAsia="fr-CA"/>
        </w:rPr>
        <w:t>sont pas utiles aux fins immédiates ou à long terme de l'Église.</w:t>
      </w:r>
    </w:p>
    <w:p w14:paraId="79C8B5FF" w14:textId="77777777" w:rsidR="00F33216" w:rsidRPr="00F33216" w:rsidRDefault="00F33216" w:rsidP="00F33216">
      <w:pPr>
        <w:numPr>
          <w:ilvl w:val="1"/>
          <w:numId w:val="1"/>
        </w:numPr>
        <w:shd w:val="clear" w:color="auto" w:fill="FFFFFF"/>
        <w:spacing w:before="263" w:line="263" w:lineRule="exact"/>
        <w:ind w:right="785"/>
        <w:jc w:val="both"/>
        <w:rPr>
          <w:rFonts w:ascii="Calibri" w:eastAsia="Times New Roman" w:hAnsi="Calibri" w:cs="Calibri"/>
          <w:color w:val="000000"/>
          <w:spacing w:val="2"/>
          <w:sz w:val="24"/>
          <w:szCs w:val="24"/>
          <w:lang w:val="fr-FR" w:eastAsia="fr-CA"/>
        </w:rPr>
      </w:pPr>
      <w:r w:rsidRPr="00F33216">
        <w:rPr>
          <w:rFonts w:ascii="Calibri" w:eastAsia="Times New Roman" w:hAnsi="Calibri" w:cs="Calibri"/>
          <w:color w:val="000000"/>
          <w:sz w:val="24"/>
          <w:szCs w:val="24"/>
          <w:lang w:val="fr-FR" w:eastAsia="fr-CA"/>
        </w:rPr>
        <w:t xml:space="preserve">La location d'une propriété de l'Église pour un bail dépassant cinq ans </w:t>
      </w:r>
      <w:r w:rsidRPr="00F33216">
        <w:rPr>
          <w:rFonts w:ascii="Calibri" w:eastAsia="Times New Roman" w:hAnsi="Calibri" w:cs="Calibri"/>
          <w:color w:val="000000"/>
          <w:sz w:val="24"/>
          <w:szCs w:val="24"/>
          <w:lang w:val="fr-FR" w:eastAsia="fr-CA"/>
        </w:rPr>
        <w:tab/>
        <w:t xml:space="preserve">devient </w:t>
      </w:r>
      <w:r w:rsidRPr="00F33216">
        <w:rPr>
          <w:rFonts w:ascii="Calibri" w:eastAsia="Times New Roman" w:hAnsi="Calibri" w:cs="Calibri"/>
          <w:color w:val="000000"/>
          <w:spacing w:val="3"/>
          <w:sz w:val="24"/>
          <w:szCs w:val="24"/>
          <w:lang w:val="fr-FR" w:eastAsia="fr-CA"/>
        </w:rPr>
        <w:t xml:space="preserve">un acte d'administration extraordinaire et requiert l’approbation </w:t>
      </w:r>
      <w:r w:rsidRPr="00F33216">
        <w:rPr>
          <w:rFonts w:ascii="Calibri" w:eastAsia="Times New Roman" w:hAnsi="Calibri" w:cs="Calibri"/>
          <w:color w:val="000000"/>
          <w:spacing w:val="3"/>
          <w:sz w:val="24"/>
          <w:szCs w:val="24"/>
          <w:lang w:val="fr-FR" w:eastAsia="fr-CA"/>
        </w:rPr>
        <w:tab/>
        <w:t>de l’Ordinaire.</w:t>
      </w:r>
    </w:p>
    <w:p w14:paraId="23FAF9F0" w14:textId="77777777" w:rsidR="00F33216" w:rsidRPr="00F33216" w:rsidRDefault="00F33216" w:rsidP="00F33216">
      <w:pPr>
        <w:numPr>
          <w:ilvl w:val="1"/>
          <w:numId w:val="1"/>
        </w:numPr>
        <w:shd w:val="clear" w:color="auto" w:fill="FFFFFF"/>
        <w:tabs>
          <w:tab w:val="left" w:pos="0"/>
        </w:tabs>
        <w:spacing w:before="274" w:line="266" w:lineRule="exact"/>
        <w:ind w:left="709" w:right="490" w:hanging="709"/>
        <w:jc w:val="both"/>
        <w:rPr>
          <w:rFonts w:ascii="Calibri" w:eastAsia="Times New Roman" w:hAnsi="Calibri" w:cs="Calibri"/>
          <w:b/>
          <w:sz w:val="24"/>
          <w:szCs w:val="24"/>
          <w:lang w:eastAsia="fr-CA"/>
        </w:rPr>
      </w:pPr>
      <w:r w:rsidRPr="00F33216">
        <w:rPr>
          <w:rFonts w:ascii="Calibri" w:eastAsia="Times New Roman" w:hAnsi="Calibri" w:cs="Calibri"/>
          <w:color w:val="000000"/>
          <w:spacing w:val="1"/>
          <w:sz w:val="24"/>
          <w:szCs w:val="24"/>
          <w:lang w:val="fr-FR" w:eastAsia="fr-CA"/>
        </w:rPr>
        <w:t>Toute location d'une propriété de l'Église dépassant une durée de trente jours</w:t>
      </w:r>
      <w:r w:rsidRPr="00F33216">
        <w:rPr>
          <w:rFonts w:ascii="Calibri" w:eastAsia="Times New Roman" w:hAnsi="Calibri" w:cs="Calibri"/>
          <w:b/>
          <w:sz w:val="24"/>
          <w:szCs w:val="24"/>
          <w:lang w:eastAsia="fr-CA"/>
        </w:rPr>
        <w:t xml:space="preserve"> </w:t>
      </w:r>
      <w:r w:rsidRPr="00F33216">
        <w:rPr>
          <w:rFonts w:ascii="Calibri" w:eastAsia="Times New Roman" w:hAnsi="Calibri" w:cs="Calibri"/>
          <w:color w:val="000000"/>
          <w:spacing w:val="-1"/>
          <w:sz w:val="24"/>
          <w:szCs w:val="24"/>
          <w:lang w:val="fr-FR" w:eastAsia="fr-CA"/>
        </w:rPr>
        <w:t>continus fera l'objet d'un acte écrit conforme aux lois civiles et particulières.</w:t>
      </w:r>
    </w:p>
    <w:p w14:paraId="6E53413B" w14:textId="77777777" w:rsidR="00F33216" w:rsidRPr="00F33216" w:rsidRDefault="00F33216" w:rsidP="00F33216">
      <w:pPr>
        <w:numPr>
          <w:ilvl w:val="1"/>
          <w:numId w:val="1"/>
        </w:numPr>
        <w:shd w:val="clear" w:color="auto" w:fill="FFFFFF"/>
        <w:tabs>
          <w:tab w:val="left" w:pos="0"/>
        </w:tabs>
        <w:spacing w:before="274" w:line="266" w:lineRule="exact"/>
        <w:ind w:left="709" w:right="490" w:hanging="709"/>
        <w:jc w:val="both"/>
        <w:rPr>
          <w:rFonts w:ascii="Calibri" w:eastAsia="Times New Roman" w:hAnsi="Calibri" w:cs="Calibri"/>
          <w:b/>
          <w:sz w:val="24"/>
          <w:szCs w:val="24"/>
          <w:lang w:eastAsia="fr-CA"/>
        </w:rPr>
      </w:pPr>
      <w:r w:rsidRPr="00F33216">
        <w:rPr>
          <w:rFonts w:ascii="Calibri" w:eastAsia="Times New Roman" w:hAnsi="Calibri" w:cs="Calibri"/>
          <w:color w:val="000000"/>
          <w:spacing w:val="6"/>
          <w:sz w:val="24"/>
          <w:szCs w:val="24"/>
          <w:lang w:val="fr-FR" w:eastAsia="fr-CA"/>
        </w:rPr>
        <w:t xml:space="preserve">Toute location d'une propriété de l'Église se fera aux taux habituellement </w:t>
      </w:r>
      <w:r w:rsidRPr="00F33216">
        <w:rPr>
          <w:rFonts w:ascii="Calibri" w:eastAsia="Times New Roman" w:hAnsi="Calibri" w:cs="Calibri"/>
          <w:color w:val="000000"/>
          <w:spacing w:val="4"/>
          <w:sz w:val="24"/>
          <w:szCs w:val="24"/>
          <w:lang w:val="fr-FR" w:eastAsia="fr-CA"/>
        </w:rPr>
        <w:t xml:space="preserve">pratiqués dans la région. Si, cependant, une propriété est louée pour un taux </w:t>
      </w:r>
      <w:r w:rsidRPr="00F33216">
        <w:rPr>
          <w:rFonts w:ascii="Calibri" w:eastAsia="Times New Roman" w:hAnsi="Calibri" w:cs="Calibri"/>
          <w:color w:val="000000"/>
          <w:sz w:val="24"/>
          <w:szCs w:val="24"/>
          <w:lang w:val="fr-FR" w:eastAsia="fr-CA"/>
        </w:rPr>
        <w:t xml:space="preserve">inférieur à celui de la région, en raison de circonstances particulières, il faudra </w:t>
      </w:r>
      <w:r w:rsidRPr="00F33216">
        <w:rPr>
          <w:rFonts w:ascii="Calibri" w:eastAsia="Times New Roman" w:hAnsi="Calibri" w:cs="Calibri"/>
          <w:color w:val="000000"/>
          <w:spacing w:val="-1"/>
          <w:sz w:val="24"/>
          <w:szCs w:val="24"/>
          <w:lang w:val="fr-FR" w:eastAsia="fr-CA"/>
        </w:rPr>
        <w:t>obtenir antérieurement la permission écrite de l'Ordinaire.</w:t>
      </w:r>
    </w:p>
    <w:p w14:paraId="0AFA547F" w14:textId="77777777" w:rsidR="00F33216" w:rsidRPr="00F33216" w:rsidRDefault="00F33216" w:rsidP="00F33216">
      <w:pPr>
        <w:numPr>
          <w:ilvl w:val="1"/>
          <w:numId w:val="1"/>
        </w:numPr>
        <w:shd w:val="clear" w:color="auto" w:fill="FFFFFF"/>
        <w:spacing w:before="274" w:line="266" w:lineRule="exact"/>
        <w:ind w:left="709" w:right="490" w:hanging="709"/>
        <w:jc w:val="both"/>
        <w:rPr>
          <w:rFonts w:ascii="Calibri" w:eastAsia="Times New Roman" w:hAnsi="Calibri" w:cs="Calibri"/>
          <w:b/>
          <w:sz w:val="24"/>
          <w:szCs w:val="24"/>
          <w:lang w:eastAsia="fr-CA"/>
        </w:rPr>
      </w:pPr>
      <w:r w:rsidRPr="00F33216">
        <w:rPr>
          <w:rFonts w:ascii="Calibri" w:eastAsia="Times New Roman" w:hAnsi="Calibri" w:cs="Calibri"/>
          <w:color w:val="000000"/>
          <w:spacing w:val="-1"/>
          <w:sz w:val="24"/>
          <w:szCs w:val="24"/>
          <w:lang w:val="fr-FR" w:eastAsia="fr-CA"/>
        </w:rPr>
        <w:t xml:space="preserve">Toute location gracieuse d'une propriété de l'Église à une association charitable </w:t>
      </w:r>
      <w:r w:rsidRPr="00F33216">
        <w:rPr>
          <w:rFonts w:ascii="Calibri" w:eastAsia="Times New Roman" w:hAnsi="Calibri" w:cs="Calibri"/>
          <w:color w:val="000000"/>
          <w:spacing w:val="2"/>
          <w:sz w:val="24"/>
          <w:szCs w:val="24"/>
          <w:lang w:val="fr-FR" w:eastAsia="fr-CA"/>
        </w:rPr>
        <w:t xml:space="preserve">ou à tout autre groupement, pour une durée excédant trois mois, ne pourra se </w:t>
      </w:r>
      <w:r w:rsidRPr="00F33216">
        <w:rPr>
          <w:rFonts w:ascii="Calibri" w:eastAsia="Times New Roman" w:hAnsi="Calibri" w:cs="Calibri"/>
          <w:color w:val="000000"/>
          <w:spacing w:val="-1"/>
          <w:sz w:val="24"/>
          <w:szCs w:val="24"/>
          <w:lang w:val="fr-FR" w:eastAsia="fr-CA"/>
        </w:rPr>
        <w:t>faire sans le consentement écrit de l'Ordinaire.</w:t>
      </w:r>
    </w:p>
    <w:p w14:paraId="40883A85" w14:textId="77777777" w:rsidR="00F33216" w:rsidRPr="00F33216" w:rsidRDefault="00F33216" w:rsidP="00F33216">
      <w:pPr>
        <w:numPr>
          <w:ilvl w:val="1"/>
          <w:numId w:val="1"/>
        </w:numPr>
        <w:shd w:val="clear" w:color="auto" w:fill="FFFFFF"/>
        <w:spacing w:before="274" w:line="266" w:lineRule="exact"/>
        <w:ind w:left="709" w:right="490" w:hanging="709"/>
        <w:jc w:val="both"/>
        <w:rPr>
          <w:rFonts w:ascii="Calibri" w:eastAsia="Times New Roman" w:hAnsi="Calibri" w:cs="Calibri"/>
          <w:b/>
          <w:sz w:val="24"/>
          <w:szCs w:val="24"/>
          <w:lang w:eastAsia="fr-CA"/>
        </w:rPr>
      </w:pPr>
      <w:r w:rsidRPr="00F33216">
        <w:rPr>
          <w:rFonts w:ascii="Calibri" w:eastAsia="Times New Roman" w:hAnsi="Calibri" w:cs="Calibri"/>
          <w:color w:val="000000"/>
          <w:spacing w:val="11"/>
          <w:sz w:val="24"/>
          <w:szCs w:val="24"/>
          <w:lang w:val="fr-FR" w:eastAsia="fr-CA"/>
        </w:rPr>
        <w:t>Si le montant total de la location dépasse le montant maximum autorisé au Canada pour l’aliénation des biens de l’Église, et si la location excède neuf ans, il faudra obtenir antérieurement la permission du Siège apostolique.</w:t>
      </w:r>
    </w:p>
    <w:p w14:paraId="231E217D" w14:textId="77777777" w:rsidR="00FC5811" w:rsidRDefault="00FC5811"/>
    <w:sectPr w:rsidR="00FC581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02293"/>
    <w:multiLevelType w:val="multilevel"/>
    <w:tmpl w:val="3AB0FE64"/>
    <w:lvl w:ilvl="0">
      <w:start w:val="8"/>
      <w:numFmt w:val="decimal"/>
      <w:lvlText w:val="%1"/>
      <w:lvlJc w:val="left"/>
      <w:pPr>
        <w:ind w:left="360" w:hanging="360"/>
      </w:pPr>
      <w:rPr>
        <w:rFonts w:hint="default"/>
        <w:b w:val="0"/>
        <w:color w:val="000000"/>
      </w:rPr>
    </w:lvl>
    <w:lvl w:ilvl="1">
      <w:start w:val="1"/>
      <w:numFmt w:val="decimal"/>
      <w:lvlText w:val="%1.%2"/>
      <w:lvlJc w:val="left"/>
      <w:pPr>
        <w:ind w:left="1076" w:hanging="360"/>
      </w:pPr>
      <w:rPr>
        <w:rFonts w:hint="default"/>
        <w:b w:val="0"/>
        <w:color w:val="000000"/>
      </w:rPr>
    </w:lvl>
    <w:lvl w:ilvl="2">
      <w:start w:val="1"/>
      <w:numFmt w:val="decimal"/>
      <w:lvlText w:val="%1.%2.%3"/>
      <w:lvlJc w:val="left"/>
      <w:pPr>
        <w:ind w:left="2152" w:hanging="720"/>
      </w:pPr>
      <w:rPr>
        <w:rFonts w:hint="default"/>
        <w:b w:val="0"/>
        <w:color w:val="000000"/>
      </w:rPr>
    </w:lvl>
    <w:lvl w:ilvl="3">
      <w:start w:val="1"/>
      <w:numFmt w:val="decimal"/>
      <w:lvlText w:val="%1.%2.%3.%4"/>
      <w:lvlJc w:val="left"/>
      <w:pPr>
        <w:ind w:left="2868" w:hanging="720"/>
      </w:pPr>
      <w:rPr>
        <w:rFonts w:hint="default"/>
        <w:b w:val="0"/>
        <w:color w:val="000000"/>
      </w:rPr>
    </w:lvl>
    <w:lvl w:ilvl="4">
      <w:start w:val="1"/>
      <w:numFmt w:val="decimal"/>
      <w:lvlText w:val="%1.%2.%3.%4.%5"/>
      <w:lvlJc w:val="left"/>
      <w:pPr>
        <w:ind w:left="3944" w:hanging="1080"/>
      </w:pPr>
      <w:rPr>
        <w:rFonts w:hint="default"/>
        <w:b w:val="0"/>
        <w:color w:val="000000"/>
      </w:rPr>
    </w:lvl>
    <w:lvl w:ilvl="5">
      <w:start w:val="1"/>
      <w:numFmt w:val="decimal"/>
      <w:lvlText w:val="%1.%2.%3.%4.%5.%6"/>
      <w:lvlJc w:val="left"/>
      <w:pPr>
        <w:ind w:left="4660" w:hanging="1080"/>
      </w:pPr>
      <w:rPr>
        <w:rFonts w:hint="default"/>
        <w:b w:val="0"/>
        <w:color w:val="000000"/>
      </w:rPr>
    </w:lvl>
    <w:lvl w:ilvl="6">
      <w:start w:val="1"/>
      <w:numFmt w:val="decimal"/>
      <w:lvlText w:val="%1.%2.%3.%4.%5.%6.%7"/>
      <w:lvlJc w:val="left"/>
      <w:pPr>
        <w:ind w:left="5736" w:hanging="1440"/>
      </w:pPr>
      <w:rPr>
        <w:rFonts w:hint="default"/>
        <w:b w:val="0"/>
        <w:color w:val="000000"/>
      </w:rPr>
    </w:lvl>
    <w:lvl w:ilvl="7">
      <w:start w:val="1"/>
      <w:numFmt w:val="decimal"/>
      <w:lvlText w:val="%1.%2.%3.%4.%5.%6.%7.%8"/>
      <w:lvlJc w:val="left"/>
      <w:pPr>
        <w:ind w:left="6452" w:hanging="1440"/>
      </w:pPr>
      <w:rPr>
        <w:rFonts w:hint="default"/>
        <w:b w:val="0"/>
        <w:color w:val="000000"/>
      </w:rPr>
    </w:lvl>
    <w:lvl w:ilvl="8">
      <w:start w:val="1"/>
      <w:numFmt w:val="decimal"/>
      <w:lvlText w:val="%1.%2.%3.%4.%5.%6.%7.%8.%9"/>
      <w:lvlJc w:val="left"/>
      <w:pPr>
        <w:ind w:left="7528" w:hanging="1800"/>
      </w:pPr>
      <w:rPr>
        <w:rFonts w:hint="default"/>
        <w:b w:val="0"/>
        <w:color w:val="000000"/>
      </w:rPr>
    </w:lvl>
  </w:abstractNum>
  <w:num w:numId="1" w16cid:durableId="104010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16"/>
    <w:rsid w:val="00F10674"/>
    <w:rsid w:val="00F33216"/>
    <w:rsid w:val="00FC581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E857E"/>
  <w15:chartTrackingRefBased/>
  <w15:docId w15:val="{7D35938E-05A2-4C22-96A8-430EF642F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0" w:firstLine="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1191</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019-POR-EVE</dc:creator>
  <cp:keywords/>
  <dc:description/>
  <cp:lastModifiedBy>Claude Gosselin</cp:lastModifiedBy>
  <cp:revision>2</cp:revision>
  <cp:lastPrinted>2023-10-25T14:21:00Z</cp:lastPrinted>
  <dcterms:created xsi:type="dcterms:W3CDTF">2023-11-21T15:56:00Z</dcterms:created>
  <dcterms:modified xsi:type="dcterms:W3CDTF">2023-11-21T15:56:00Z</dcterms:modified>
</cp:coreProperties>
</file>